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37C21372" w:rsidR="00E0332B" w:rsidRPr="000E459B" w:rsidRDefault="00E0332B" w:rsidP="00E0332B">
      <w:pPr>
        <w:pStyle w:val="Akapitzlist"/>
        <w:spacing w:before="120" w:line="276" w:lineRule="auto"/>
        <w:jc w:val="center"/>
        <w:outlineLvl w:val="0"/>
        <w:rPr>
          <w:rFonts w:cstheme="minorHAnsi"/>
          <w:b/>
          <w:i/>
          <w:szCs w:val="18"/>
        </w:rPr>
      </w:pPr>
      <w:r w:rsidRPr="000E459B">
        <w:rPr>
          <w:rFonts w:cstheme="minorHAnsi"/>
          <w:b/>
          <w:i/>
          <w:szCs w:val="18"/>
        </w:rPr>
        <w:t>„</w:t>
      </w:r>
      <w:r w:rsidR="004C7FFC" w:rsidRPr="00223AA5">
        <w:rPr>
          <w:rFonts w:ascii="Verdana" w:hAnsi="Verdana"/>
          <w:b/>
          <w:bCs/>
          <w:szCs w:val="18"/>
        </w:rPr>
        <w:t>Przyłączenie zakładu elektrolizy wody – zasilanie podstawowe nr 2 w miejscowości Osuchów (działka nr 188/8), gm. Mszczonów</w:t>
      </w:r>
      <w:r w:rsidRPr="000E459B">
        <w:rPr>
          <w:rFonts w:cstheme="minorHAnsi"/>
          <w:b/>
          <w:i/>
          <w:szCs w:val="18"/>
        </w:rPr>
        <w:t>”</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r w:rsidRPr="005A7035">
        <w:rPr>
          <w:rFonts w:cstheme="minorHAnsi"/>
          <w:sz w:val="20"/>
          <w:lang w:val="x-none"/>
        </w:rPr>
        <w:t>agospodarowa</w:t>
      </w:r>
      <w:r w:rsidRPr="005A7035">
        <w:rPr>
          <w:rFonts w:cstheme="minorHAnsi"/>
          <w:sz w:val="20"/>
        </w:rPr>
        <w:t>nie</w:t>
      </w:r>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r w:rsidRPr="005A7035">
        <w:rPr>
          <w:rFonts w:cstheme="minorHAnsi"/>
          <w:sz w:val="20"/>
          <w:lang w:val="x-none"/>
        </w:rPr>
        <w:t>rawidłowa,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r w:rsidRPr="005A7035">
        <w:rPr>
          <w:rFonts w:cstheme="minorHAnsi"/>
          <w:sz w:val="20"/>
          <w:lang w:val="x-none"/>
        </w:rPr>
        <w:t>widencjonowani</w:t>
      </w:r>
      <w:r w:rsidRPr="005A7035">
        <w:rPr>
          <w:rFonts w:cstheme="minorHAnsi"/>
          <w:sz w:val="20"/>
        </w:rPr>
        <w:t>e</w:t>
      </w:r>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r w:rsidRPr="005A7035">
        <w:rPr>
          <w:rFonts w:cstheme="minorHAnsi"/>
          <w:sz w:val="20"/>
          <w:lang w:val="x-none"/>
        </w:rPr>
        <w:t>dpowiedzialność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 xml:space="preserve">Jeżeli wymagane jest zabezpieczenie należytego wykonania umowy, a Wykonawca zdecyduje się je wnieść w postaci gwarancji bankowej lub </w:t>
      </w:r>
      <w:r w:rsidRPr="002D2118">
        <w:rPr>
          <w:rFonts w:cstheme="minorHAnsi"/>
          <w:b/>
          <w:sz w:val="20"/>
        </w:rPr>
        <w:lastRenderedPageBreak/>
        <w:t>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Wytyczne w zakresie stosowania zamknięć typu Master Key</w:t>
      </w:r>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Key” (MK) firmy LOB Master Key Sp. z o. o. według poniższego schematu. </w:t>
      </w:r>
    </w:p>
    <w:p w14:paraId="7104023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W1:</w:t>
      </w:r>
      <w:r w:rsidRPr="00421260">
        <w:rPr>
          <w:rFonts w:cstheme="minorHAnsi"/>
          <w:sz w:val="20"/>
          <w:lang w:eastAsia="pl-PL"/>
        </w:rPr>
        <w:t xml:space="preserve"> zamknięcia obiektów systemem MK zastosowane do pomieszczeń oraz urządzeń w stacjach 110 kV oraz SN/SN</w:t>
      </w:r>
      <w:r>
        <w:rPr>
          <w:rFonts w:cstheme="minorHAnsi"/>
          <w:sz w:val="20"/>
          <w:lang w:eastAsia="pl-PL"/>
        </w:rPr>
        <w:t>, k</w:t>
      </w:r>
      <w:r w:rsidRPr="00421260">
        <w:rPr>
          <w:rFonts w:cstheme="minorHAnsi"/>
          <w:sz w:val="20"/>
          <w:lang w:eastAsia="pl-PL"/>
        </w:rPr>
        <w:t>olor kłódki: niebieski RAL 5015.</w:t>
      </w:r>
    </w:p>
    <w:p w14:paraId="41D6D11A"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W/O1:</w:t>
      </w:r>
      <w:r w:rsidRPr="00421260">
        <w:rPr>
          <w:rFonts w:cstheme="minorHAnsi"/>
          <w:sz w:val="20"/>
          <w:lang w:eastAsia="pl-PL"/>
        </w:rPr>
        <w:t xml:space="preserve"> zamknięcia obiektów współdzielonych systemu MK zastosowane do pomieszczeń oraz urządzeń w stacjach 110 kV oraz</w:t>
      </w:r>
      <w:r>
        <w:rPr>
          <w:rFonts w:cstheme="minorHAnsi"/>
          <w:sz w:val="20"/>
          <w:lang w:eastAsia="pl-PL"/>
        </w:rPr>
        <w:t xml:space="preserve"> SN/SN, k</w:t>
      </w:r>
      <w:r w:rsidRPr="00421260">
        <w:rPr>
          <w:rFonts w:cstheme="minorHAnsi"/>
          <w:sz w:val="20"/>
          <w:lang w:eastAsia="pl-PL"/>
        </w:rPr>
        <w:t>olor kłódki: niebieski RAL 5015.</w:t>
      </w:r>
    </w:p>
    <w:p w14:paraId="69209E7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S1</w:t>
      </w:r>
      <w:r w:rsidRPr="00421260">
        <w:rPr>
          <w:rFonts w:cstheme="minorHAnsi"/>
          <w:sz w:val="20"/>
          <w:lang w:eastAsia="pl-PL"/>
        </w:rPr>
        <w:t>: zamknięcia systemu MK zastosowane w stacjach SN/nN,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S/O1</w:t>
      </w:r>
      <w:r w:rsidRPr="00421260">
        <w:rPr>
          <w:rFonts w:cstheme="minorHAnsi"/>
          <w:sz w:val="20"/>
          <w:lang w:eastAsia="pl-PL"/>
        </w:rPr>
        <w:t>: zamknięcia obiektów współdzielonych systemu MK zastosowane w stacjach SN/nN,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D1</w:t>
      </w:r>
      <w:r w:rsidRPr="00421260">
        <w:rPr>
          <w:rFonts w:cstheme="minorHAnsi"/>
          <w:sz w:val="20"/>
          <w:lang w:eastAsia="pl-PL"/>
        </w:rPr>
        <w:t>: zamknięcia systemu MK zastos</w:t>
      </w:r>
      <w:r>
        <w:rPr>
          <w:rFonts w:cstheme="minorHAnsi"/>
          <w:sz w:val="20"/>
          <w:lang w:eastAsia="pl-PL"/>
        </w:rPr>
        <w:t>owane w złączach kablowych nN, kolor kłódki: brązowy</w:t>
      </w:r>
      <w:r w:rsidRPr="00421260">
        <w:rPr>
          <w:rFonts w:cstheme="minorHAnsi"/>
          <w:sz w:val="20"/>
          <w:lang w:eastAsia="pl-PL"/>
        </w:rPr>
        <w:t xml:space="preserve"> RAL 8016. </w:t>
      </w:r>
    </w:p>
    <w:p w14:paraId="77BAFBB7" w14:textId="77777777"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O1</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7777777"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K1</w:t>
      </w:r>
      <w:r w:rsidRPr="00421260">
        <w:rPr>
          <w:rFonts w:cstheme="minorHAnsi"/>
          <w:sz w:val="20"/>
          <w:lang w:eastAsia="pl-PL"/>
        </w:rPr>
        <w:t>: zamknięcia systemu MK zastosowane do szafek licznikowych nN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98DB20F" w14:textId="348AFAC1" w:rsidR="00E0332B" w:rsidRPr="002D2118" w:rsidRDefault="00370BE6" w:rsidP="00E0332B">
      <w:pPr>
        <w:spacing w:before="120" w:line="276" w:lineRule="auto"/>
        <w:outlineLvl w:val="0"/>
        <w:rPr>
          <w:rFonts w:cstheme="minorHAnsi"/>
          <w:sz w:val="20"/>
        </w:rPr>
      </w:pPr>
      <w:r>
        <w:rPr>
          <w:rFonts w:cstheme="minorHAnsi"/>
          <w:b/>
          <w:i/>
          <w:sz w:val="20"/>
        </w:rPr>
        <w:t>29</w:t>
      </w:r>
      <w:r w:rsidR="00E0332B" w:rsidRPr="002D2118">
        <w:rPr>
          <w:rFonts w:cstheme="minorHAnsi"/>
          <w:b/>
          <w:i/>
          <w:sz w:val="20"/>
        </w:rPr>
        <w:t>.</w:t>
      </w:r>
      <w:r>
        <w:rPr>
          <w:rFonts w:cstheme="minorHAnsi"/>
          <w:b/>
          <w:i/>
          <w:sz w:val="20"/>
        </w:rPr>
        <w:t>0</w:t>
      </w:r>
      <w:r w:rsidR="004C7FFC">
        <w:rPr>
          <w:rFonts w:cstheme="minorHAnsi"/>
          <w:b/>
          <w:i/>
          <w:sz w:val="20"/>
        </w:rPr>
        <w:t>1</w:t>
      </w:r>
      <w:r w:rsidR="00E0332B" w:rsidRPr="002D2118">
        <w:rPr>
          <w:rFonts w:cstheme="minorHAnsi"/>
          <w:b/>
          <w:i/>
          <w:sz w:val="20"/>
        </w:rPr>
        <w:t>.202</w:t>
      </w:r>
      <w:r>
        <w:rPr>
          <w:rFonts w:cstheme="minorHAnsi"/>
          <w:b/>
          <w:i/>
          <w:sz w:val="20"/>
        </w:rPr>
        <w:t>7</w:t>
      </w:r>
      <w:r w:rsidR="00E0332B" w:rsidRPr="002D2118">
        <w:rPr>
          <w:rFonts w:cstheme="minorHAnsi"/>
          <w:sz w:val="20"/>
        </w:rPr>
        <w:t xml:space="preserve"> (prace projektowe)</w:t>
      </w:r>
    </w:p>
    <w:p w14:paraId="3BF4A3D2" w14:textId="1A358077" w:rsidR="00E0332B" w:rsidRPr="002D2118" w:rsidRDefault="00370BE6" w:rsidP="00E0332B">
      <w:pPr>
        <w:spacing w:before="120" w:line="276" w:lineRule="auto"/>
        <w:outlineLvl w:val="0"/>
        <w:rPr>
          <w:rFonts w:cstheme="minorHAnsi"/>
          <w:sz w:val="20"/>
        </w:rPr>
      </w:pPr>
      <w:r>
        <w:rPr>
          <w:rFonts w:cstheme="minorHAnsi"/>
          <w:b/>
          <w:i/>
          <w:sz w:val="20"/>
        </w:rPr>
        <w:t>29</w:t>
      </w:r>
      <w:r w:rsidR="00E0332B">
        <w:rPr>
          <w:rFonts w:cstheme="minorHAnsi"/>
          <w:b/>
          <w:i/>
          <w:sz w:val="20"/>
        </w:rPr>
        <w:t>.</w:t>
      </w:r>
      <w:r>
        <w:rPr>
          <w:rFonts w:cstheme="minorHAnsi"/>
          <w:b/>
          <w:i/>
          <w:sz w:val="20"/>
        </w:rPr>
        <w:t>0</w:t>
      </w:r>
      <w:r w:rsidR="004C7FFC">
        <w:rPr>
          <w:rFonts w:cstheme="minorHAnsi"/>
          <w:b/>
          <w:i/>
          <w:sz w:val="20"/>
        </w:rPr>
        <w:t>2</w:t>
      </w:r>
      <w:r w:rsidR="00E0332B" w:rsidRPr="002D2118">
        <w:rPr>
          <w:rFonts w:cstheme="minorHAnsi"/>
          <w:b/>
          <w:i/>
          <w:sz w:val="20"/>
        </w:rPr>
        <w:t>.202</w:t>
      </w:r>
      <w:r>
        <w:rPr>
          <w:rFonts w:cstheme="minorHAnsi"/>
          <w:b/>
          <w:i/>
          <w:sz w:val="20"/>
        </w:rPr>
        <w:t>7</w:t>
      </w:r>
      <w:r w:rsidR="00E0332B" w:rsidRPr="002D2118">
        <w:rPr>
          <w:rFonts w:cstheme="minorHAnsi"/>
          <w:b/>
          <w:i/>
          <w:sz w:val="20"/>
        </w:rPr>
        <w:t xml:space="preserve"> </w:t>
      </w:r>
      <w:r w:rsidR="00E0332B" w:rsidRPr="002D2118">
        <w:rPr>
          <w:rFonts w:cstheme="minorHAnsi"/>
          <w:sz w:val="20"/>
        </w:rPr>
        <w:t>(roboty budowlano-montażowe)</w:t>
      </w:r>
    </w:p>
    <w:p w14:paraId="333D75DF" w14:textId="77777777"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71AC680F"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4C7FFC">
        <w:rPr>
          <w:rFonts w:cstheme="minorHAnsi"/>
          <w:b/>
          <w:i/>
          <w:sz w:val="20"/>
        </w:rPr>
        <w:t>Żyrardów</w:t>
      </w:r>
      <w:r w:rsidRPr="002D2118">
        <w:rPr>
          <w:rFonts w:cstheme="minorHAnsi"/>
          <w:b/>
          <w:i/>
          <w:sz w:val="20"/>
        </w:rPr>
        <w:t>, miejscowość</w:t>
      </w:r>
      <w:r>
        <w:rPr>
          <w:rFonts w:cstheme="minorHAnsi"/>
          <w:b/>
          <w:i/>
          <w:sz w:val="20"/>
        </w:rPr>
        <w:t xml:space="preserve"> </w:t>
      </w:r>
      <w:r w:rsidR="004C7FFC">
        <w:rPr>
          <w:rFonts w:cstheme="minorHAnsi"/>
          <w:b/>
          <w:i/>
          <w:sz w:val="20"/>
        </w:rPr>
        <w:t>Osuchów</w:t>
      </w:r>
      <w:r w:rsidRPr="002D2118">
        <w:rPr>
          <w:rFonts w:cstheme="minorHAnsi"/>
          <w:b/>
          <w:i/>
          <w:sz w:val="20"/>
        </w:rPr>
        <w:t xml:space="preserve">, </w:t>
      </w:r>
      <w:r w:rsidR="004C7FFC">
        <w:rPr>
          <w:rFonts w:cstheme="minorHAnsi"/>
          <w:b/>
          <w:i/>
          <w:sz w:val="20"/>
        </w:rPr>
        <w:t>gmina Mszczonów</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0EA9FFBD"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t>Wymagania techniczne dotyczące transformatorów rozdzielczych SN/nN stanowią załącznik do niniejszej Specyfikacji (SST-transformatory)</w:t>
      </w:r>
      <w:r w:rsidR="004C7FFC">
        <w:rPr>
          <w:rFonts w:cstheme="minorHAnsi"/>
          <w:b/>
          <w:sz w:val="20"/>
        </w:rPr>
        <w:t xml:space="preserve"> – nie dotyczy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 xml:space="preserve">Liczniki i modemy do układów bilansujących w stacjach SN/nN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60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przesyłu</w:t>
      </w:r>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tanowienie służebności przesyłu</w:t>
      </w:r>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72D624D4" w14:textId="77777777" w:rsidR="00E0332B" w:rsidRDefault="00E0332B" w:rsidP="00E0332B">
      <w:pPr>
        <w:rPr>
          <w:rFonts w:cstheme="minorHAnsi"/>
          <w:sz w:val="20"/>
        </w:rPr>
      </w:pPr>
      <w:r>
        <w:rPr>
          <w:rFonts w:cstheme="minorHAnsi"/>
          <w:sz w:val="20"/>
        </w:rPr>
        <w:t>Załącznik nr 1.9 – Warunki przyłączenia</w:t>
      </w:r>
    </w:p>
    <w:p w14:paraId="1C4FD1A7" w14:textId="77777777" w:rsidR="00E0332B" w:rsidRPr="00DA054A" w:rsidRDefault="00E0332B" w:rsidP="00E0332B">
      <w:pPr>
        <w:rPr>
          <w:rFonts w:cstheme="minorHAnsi"/>
          <w:sz w:val="20"/>
        </w:rPr>
      </w:pPr>
      <w:r>
        <w:rPr>
          <w:rFonts w:cstheme="minorHAnsi"/>
          <w:sz w:val="20"/>
        </w:rPr>
        <w:t xml:space="preserve">Załącznik nr 1.10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Decyzja o ustaleniu lokalizacji inwestycji celu publicznego z załącznikiem graficznym lub Wyrys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lastRenderedPageBreak/>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Schematy jednokreskowe (np. linie SN, nn,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Zbiorcze zestawienia materiałów dla linii napowietrznej, kabli – SN, nN,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demontażowe (linii SN, stacji, linii nn,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w:t>
      </w:r>
      <w:r w:rsidRPr="005873E7">
        <w:rPr>
          <w:rFonts w:cstheme="minorHAnsi"/>
          <w:sz w:val="20"/>
        </w:rPr>
        <w:lastRenderedPageBreak/>
        <w:t>„zero”, opaska, /dot.: ST wnętrzowych/; droga dojazdowa-uzgodniona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umów z właścicielami gruntu o udostępnienie nieruchomości w celu budowy urządzeń energetycznych, porozumienia w sprawie ustanowienia służebności przesyłu</w:t>
      </w:r>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Akty notarialne służebności przesyłu</w:t>
      </w:r>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Sekocenbud),</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Kp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Z = 10 % (od R+S+Kp)</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Dla materiałów należy przyjmować ceny średnie z kosztami zakupu z powszechnie stosowanych aktualnych publikacjach, a przede wszystkim aktualnych dla kwartału sporządzania kosztorysu cenników ICCP-Orgbud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ICCP-Orgbud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W przypadku braku norm R, M, S w ww. katalogach należy stosować normy ujęte w katalogach uzupełniających do ww., wydanych przez WACETOB – PZITB Warszawa, w następnej kolejności, ujęte w katalogach wydanych przez Orgbud-Serwis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o nabycie gruntu lub ustanowienie odpłatnej służebności przesyłu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i wyrys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Oświadczenie (zgoda) właściciela gruntu (z podaniem adresu zamieszkania numeru telefonu kontaktowego), o jego zbyciu lub ustanowieniu służebności przesyłu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nasadzeń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Porozumienie o ustanowieniu służebności przesyłu</w:t>
      </w:r>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przesyłu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Niezbędna treść do zamieszczenia w umowie o ustanowienie służebności przesyłu</w:t>
      </w:r>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Niezbędna treść do zamieszczenia w umowie o ustanowienie służebności przesyłu</w:t>
      </w:r>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zobowiązuje się do ustanowienia na nieruchomościach opisanych w § ……niniejszego Aktu (nieruchomości obciążone) nieodpłatnie na rzecz Przedsiębiorstwa Energetycznego,  nieograniczonej w czasie służebności przesyłu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znoszeniu istnienia posadowionych na nieruchomości obciążonej urządzeń elektroenergetycznych w postaci: ……………………………………………………, służących do przesyłu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Opisana wyżej służebność przesyłu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Służebność przesyłu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Po wygaśnięciu służebności przesyłu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even" r:id="rId12"/>
      <w:headerReference w:type="default" r:id="rId13"/>
      <w:footerReference w:type="even" r:id="rId14"/>
      <w:footerReference w:type="default" r:id="rId15"/>
      <w:headerReference w:type="first" r:id="rId16"/>
      <w:footerReference w:type="first" r:id="rId17"/>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A36EDA" w14:textId="77777777" w:rsidR="000906D5" w:rsidRDefault="000906D5" w:rsidP="00582CE9">
      <w:pPr>
        <w:spacing w:after="0"/>
      </w:pPr>
      <w:r>
        <w:separator/>
      </w:r>
    </w:p>
  </w:endnote>
  <w:endnote w:type="continuationSeparator" w:id="0">
    <w:p w14:paraId="4B1145A7" w14:textId="77777777" w:rsidR="000906D5" w:rsidRDefault="000906D5"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3C82" w14:textId="77777777" w:rsidR="00B92363" w:rsidRDefault="00B9236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F900B4" w14:textId="77777777" w:rsidR="000906D5" w:rsidRDefault="000906D5" w:rsidP="00582CE9">
      <w:pPr>
        <w:spacing w:after="0"/>
      </w:pPr>
      <w:r>
        <w:separator/>
      </w:r>
    </w:p>
  </w:footnote>
  <w:footnote w:type="continuationSeparator" w:id="0">
    <w:p w14:paraId="265527A5" w14:textId="77777777" w:rsidR="000906D5" w:rsidRDefault="000906D5"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CBCD4" w14:textId="77777777" w:rsidR="00B92363" w:rsidRDefault="00B9236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B92363"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4DBAE50A" w14:textId="77777777" w:rsidR="00B92363" w:rsidRPr="00B92363" w:rsidRDefault="00B92363" w:rsidP="00B92363">
          <w:pPr>
            <w:suppressAutoHyphens/>
            <w:ind w:right="187"/>
            <w:rPr>
              <w:rFonts w:asciiTheme="majorHAnsi" w:hAnsiTheme="majorHAnsi"/>
              <w:color w:val="000000" w:themeColor="text1"/>
              <w:sz w:val="14"/>
              <w:szCs w:val="18"/>
            </w:rPr>
          </w:pPr>
          <w:r w:rsidRPr="00B92363">
            <w:rPr>
              <w:rFonts w:asciiTheme="majorHAnsi" w:hAnsiTheme="majorHAnsi"/>
              <w:color w:val="000000" w:themeColor="text1"/>
              <w:sz w:val="14"/>
              <w:szCs w:val="18"/>
            </w:rPr>
            <w:t>Wykonanie dokumentacji projektowej i robót budowlanych w branży elektroenergetycznej na terenie działania OŁD w RE Żyrardów w podziale na 6 części.</w:t>
          </w:r>
        </w:p>
        <w:p w14:paraId="5205B493" w14:textId="15F17C9D" w:rsidR="00347E8D" w:rsidRPr="00B92363" w:rsidRDefault="00B92363" w:rsidP="00B92363">
          <w:pPr>
            <w:suppressAutoHyphens/>
            <w:ind w:right="187"/>
            <w:rPr>
              <w:rFonts w:asciiTheme="majorHAnsi" w:hAnsiTheme="majorHAnsi"/>
              <w:color w:val="000000" w:themeColor="text1"/>
              <w:sz w:val="14"/>
              <w:szCs w:val="18"/>
              <w:lang w:val="en-GB"/>
            </w:rPr>
          </w:pPr>
          <w:r w:rsidRPr="00B92363">
            <w:rPr>
              <w:rFonts w:asciiTheme="majorHAnsi" w:hAnsiTheme="majorHAnsi"/>
              <w:color w:val="000000" w:themeColor="text1"/>
              <w:sz w:val="14"/>
              <w:szCs w:val="18"/>
              <w:lang w:val="en-GB"/>
            </w:rPr>
            <w:t>POST/DYS/OLD/GZ/01138/2026 część 5</w:t>
          </w:r>
        </w:p>
      </w:tc>
      <w:tc>
        <w:tcPr>
          <w:tcW w:w="977" w:type="dxa"/>
          <w:vAlign w:val="center"/>
        </w:tcPr>
        <w:p w14:paraId="3FED520E" w14:textId="72C65808" w:rsidR="00347E8D" w:rsidRPr="00B92363" w:rsidRDefault="00347E8D" w:rsidP="00582CE9">
          <w:pPr>
            <w:suppressAutoHyphens/>
            <w:ind w:right="187"/>
            <w:rPr>
              <w:rFonts w:asciiTheme="majorHAnsi" w:hAnsiTheme="majorHAnsi"/>
              <w:color w:val="092D74"/>
              <w:sz w:val="14"/>
              <w:szCs w:val="18"/>
              <w:lang w:val="en-GB"/>
            </w:rPr>
          </w:pPr>
        </w:p>
      </w:tc>
      <w:tc>
        <w:tcPr>
          <w:tcW w:w="3110" w:type="dxa"/>
          <w:vAlign w:val="center"/>
        </w:tcPr>
        <w:p w14:paraId="0E71B715" w14:textId="641FDE21" w:rsidR="00347E8D" w:rsidRPr="00B92363" w:rsidRDefault="00056904" w:rsidP="00582CE9">
          <w:pPr>
            <w:suppressAutoHyphens/>
            <w:ind w:right="187"/>
            <w:rPr>
              <w:rFonts w:asciiTheme="majorHAnsi" w:hAnsiTheme="majorHAnsi"/>
              <w:color w:val="092D74"/>
              <w:sz w:val="14"/>
              <w:szCs w:val="18"/>
              <w:lang w:val="en-GB"/>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4050000E">
              <wp:simplePos x="0" y="0"/>
              <wp:positionH relativeFrom="page">
                <wp:align>left</wp:align>
              </wp:positionH>
              <wp:positionV relativeFrom="page">
                <wp:posOffset>95098</wp:posOffset>
              </wp:positionV>
              <wp:extent cx="7560310" cy="95097"/>
              <wp:effectExtent l="0" t="0" r="0" b="635"/>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flipV="1">
                        <a:off x="0" y="0"/>
                        <a:ext cx="7560310" cy="95097"/>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7.5pt;width:595.3pt;height:7.5pt;flip:y;z-index:251667456;visibility:visible;mso-wrap-style:square;mso-height-percent:0;mso-wrap-distance-left:9pt;mso-wrap-distance-top:0;mso-wrap-distance-right:9pt;mso-wrap-distance-bottom:0;mso-position-horizontal:left;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639501052">
    <w:abstractNumId w:val="21"/>
  </w:num>
  <w:num w:numId="2" w16cid:durableId="319694981">
    <w:abstractNumId w:val="9"/>
  </w:num>
  <w:num w:numId="3" w16cid:durableId="296112452">
    <w:abstractNumId w:val="15"/>
  </w:num>
  <w:num w:numId="4" w16cid:durableId="768282810">
    <w:abstractNumId w:val="23"/>
  </w:num>
  <w:num w:numId="5" w16cid:durableId="1740975881">
    <w:abstractNumId w:val="21"/>
  </w:num>
  <w:num w:numId="6" w16cid:durableId="717047986">
    <w:abstractNumId w:val="21"/>
  </w:num>
  <w:num w:numId="7" w16cid:durableId="1956521442">
    <w:abstractNumId w:val="3"/>
  </w:num>
  <w:num w:numId="8" w16cid:durableId="1352147971">
    <w:abstractNumId w:val="40"/>
  </w:num>
  <w:num w:numId="9" w16cid:durableId="1973553783">
    <w:abstractNumId w:val="19"/>
  </w:num>
  <w:num w:numId="10" w16cid:durableId="1364214473">
    <w:abstractNumId w:val="4"/>
  </w:num>
  <w:num w:numId="11" w16cid:durableId="1078672819">
    <w:abstractNumId w:val="16"/>
  </w:num>
  <w:num w:numId="12" w16cid:durableId="279191985">
    <w:abstractNumId w:val="14"/>
  </w:num>
  <w:num w:numId="13" w16cid:durableId="824510532">
    <w:abstractNumId w:val="36"/>
  </w:num>
  <w:num w:numId="14" w16cid:durableId="726535566">
    <w:abstractNumId w:val="28"/>
  </w:num>
  <w:num w:numId="15" w16cid:durableId="248586956">
    <w:abstractNumId w:val="18"/>
  </w:num>
  <w:num w:numId="16" w16cid:durableId="547377304">
    <w:abstractNumId w:val="11"/>
  </w:num>
  <w:num w:numId="17" w16cid:durableId="1035304534">
    <w:abstractNumId w:val="5"/>
  </w:num>
  <w:num w:numId="18" w16cid:durableId="1880237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17858267">
    <w:abstractNumId w:val="0"/>
  </w:num>
  <w:num w:numId="20" w16cid:durableId="1628587517">
    <w:abstractNumId w:val="42"/>
  </w:num>
  <w:num w:numId="21" w16cid:durableId="736047697">
    <w:abstractNumId w:val="1"/>
  </w:num>
  <w:num w:numId="22" w16cid:durableId="177275640">
    <w:abstractNumId w:val="17"/>
  </w:num>
  <w:num w:numId="23" w16cid:durableId="162168100">
    <w:abstractNumId w:val="12"/>
  </w:num>
  <w:num w:numId="24" w16cid:durableId="89474301">
    <w:abstractNumId w:val="24"/>
  </w:num>
  <w:num w:numId="25" w16cid:durableId="1963922189">
    <w:abstractNumId w:val="35"/>
  </w:num>
  <w:num w:numId="26" w16cid:durableId="593169536">
    <w:abstractNumId w:val="2"/>
  </w:num>
  <w:num w:numId="27" w16cid:durableId="1121846533">
    <w:abstractNumId w:val="34"/>
  </w:num>
  <w:num w:numId="28" w16cid:durableId="750929089">
    <w:abstractNumId w:val="30"/>
  </w:num>
  <w:num w:numId="29" w16cid:durableId="19166246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75294100">
    <w:abstractNumId w:val="22"/>
  </w:num>
  <w:num w:numId="31" w16cid:durableId="725566474">
    <w:abstractNumId w:val="20"/>
  </w:num>
  <w:num w:numId="32" w16cid:durableId="1870339384">
    <w:abstractNumId w:val="41"/>
  </w:num>
  <w:num w:numId="33" w16cid:durableId="1989942841">
    <w:abstractNumId w:val="26"/>
  </w:num>
  <w:num w:numId="34" w16cid:durableId="1892035537">
    <w:abstractNumId w:val="25"/>
  </w:num>
  <w:num w:numId="35" w16cid:durableId="889653437">
    <w:abstractNumId w:val="33"/>
  </w:num>
  <w:num w:numId="36" w16cid:durableId="42340484">
    <w:abstractNumId w:val="31"/>
  </w:num>
  <w:num w:numId="37" w16cid:durableId="1672415396">
    <w:abstractNumId w:val="6"/>
  </w:num>
  <w:num w:numId="38" w16cid:durableId="338509845">
    <w:abstractNumId w:val="13"/>
  </w:num>
  <w:num w:numId="39" w16cid:durableId="286206309">
    <w:abstractNumId w:val="37"/>
  </w:num>
  <w:num w:numId="40" w16cid:durableId="1557543457">
    <w:abstractNumId w:val="8"/>
  </w:num>
  <w:num w:numId="41" w16cid:durableId="958951712">
    <w:abstractNumId w:val="38"/>
  </w:num>
  <w:num w:numId="42" w16cid:durableId="1491284630">
    <w:abstractNumId w:val="29"/>
  </w:num>
  <w:num w:numId="43" w16cid:durableId="305939820">
    <w:abstractNumId w:val="43"/>
  </w:num>
  <w:num w:numId="44" w16cid:durableId="918489812">
    <w:abstractNumId w:val="39"/>
  </w:num>
  <w:num w:numId="45" w16cid:durableId="59179570">
    <w:abstractNumId w:val="32"/>
  </w:num>
  <w:num w:numId="46" w16cid:durableId="75446492">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B0DBD"/>
    <w:rsid w:val="000C47A9"/>
    <w:rsid w:val="000C679C"/>
    <w:rsid w:val="000D42BE"/>
    <w:rsid w:val="000D5886"/>
    <w:rsid w:val="000E1564"/>
    <w:rsid w:val="000E459B"/>
    <w:rsid w:val="00101BCF"/>
    <w:rsid w:val="0010420D"/>
    <w:rsid w:val="001112C2"/>
    <w:rsid w:val="00124536"/>
    <w:rsid w:val="00125A7F"/>
    <w:rsid w:val="00126CEA"/>
    <w:rsid w:val="00132B64"/>
    <w:rsid w:val="00136B64"/>
    <w:rsid w:val="0014036E"/>
    <w:rsid w:val="00145125"/>
    <w:rsid w:val="0014785F"/>
    <w:rsid w:val="00167B53"/>
    <w:rsid w:val="00167BC4"/>
    <w:rsid w:val="00172B93"/>
    <w:rsid w:val="00175F4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32395"/>
    <w:rsid w:val="0024291C"/>
    <w:rsid w:val="00257F22"/>
    <w:rsid w:val="00264A06"/>
    <w:rsid w:val="00265B9D"/>
    <w:rsid w:val="00270752"/>
    <w:rsid w:val="002743D5"/>
    <w:rsid w:val="002768AC"/>
    <w:rsid w:val="002958A7"/>
    <w:rsid w:val="002A3129"/>
    <w:rsid w:val="002A48F7"/>
    <w:rsid w:val="002B5C62"/>
    <w:rsid w:val="002C470F"/>
    <w:rsid w:val="002D4CAD"/>
    <w:rsid w:val="002F10CA"/>
    <w:rsid w:val="00303C67"/>
    <w:rsid w:val="00310CB3"/>
    <w:rsid w:val="00347E8D"/>
    <w:rsid w:val="00362C4E"/>
    <w:rsid w:val="00366FFB"/>
    <w:rsid w:val="00370BE6"/>
    <w:rsid w:val="00371A75"/>
    <w:rsid w:val="00375780"/>
    <w:rsid w:val="00381365"/>
    <w:rsid w:val="00387A0D"/>
    <w:rsid w:val="003903C2"/>
    <w:rsid w:val="00395F60"/>
    <w:rsid w:val="0039777B"/>
    <w:rsid w:val="003A3E80"/>
    <w:rsid w:val="003A448C"/>
    <w:rsid w:val="003A4CC6"/>
    <w:rsid w:val="003A5D11"/>
    <w:rsid w:val="003A7C03"/>
    <w:rsid w:val="003B43F5"/>
    <w:rsid w:val="003B66FE"/>
    <w:rsid w:val="003D41B4"/>
    <w:rsid w:val="003D4FEB"/>
    <w:rsid w:val="003D6C11"/>
    <w:rsid w:val="003E050D"/>
    <w:rsid w:val="003E3CCB"/>
    <w:rsid w:val="003E59DD"/>
    <w:rsid w:val="003F132F"/>
    <w:rsid w:val="003F257A"/>
    <w:rsid w:val="0040472A"/>
    <w:rsid w:val="00412E5B"/>
    <w:rsid w:val="00417E23"/>
    <w:rsid w:val="004257E0"/>
    <w:rsid w:val="00431854"/>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C7FFC"/>
    <w:rsid w:val="004D154B"/>
    <w:rsid w:val="004D63D5"/>
    <w:rsid w:val="004E1AB0"/>
    <w:rsid w:val="004E7573"/>
    <w:rsid w:val="004F0C4A"/>
    <w:rsid w:val="004F20AD"/>
    <w:rsid w:val="004F6B10"/>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0DF2"/>
    <w:rsid w:val="00AC4A8D"/>
    <w:rsid w:val="00AC5A4C"/>
    <w:rsid w:val="00AD5D81"/>
    <w:rsid w:val="00AE1A85"/>
    <w:rsid w:val="00AE5E48"/>
    <w:rsid w:val="00AF30DB"/>
    <w:rsid w:val="00AF78FE"/>
    <w:rsid w:val="00AF7E7E"/>
    <w:rsid w:val="00B0459E"/>
    <w:rsid w:val="00B05E1A"/>
    <w:rsid w:val="00B10201"/>
    <w:rsid w:val="00B10A71"/>
    <w:rsid w:val="00B17A2B"/>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92363"/>
    <w:rsid w:val="00BA0FF4"/>
    <w:rsid w:val="00BA5673"/>
    <w:rsid w:val="00BB0255"/>
    <w:rsid w:val="00BB180C"/>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74E6"/>
    <w:rsid w:val="00CB2D26"/>
    <w:rsid w:val="00CB3A6F"/>
    <w:rsid w:val="00CD2022"/>
    <w:rsid w:val="00CE2F55"/>
    <w:rsid w:val="00D03C12"/>
    <w:rsid w:val="00D07D77"/>
    <w:rsid w:val="00D10930"/>
    <w:rsid w:val="00D1247E"/>
    <w:rsid w:val="00D21BCE"/>
    <w:rsid w:val="00D516C1"/>
    <w:rsid w:val="00D6344F"/>
    <w:rsid w:val="00D80E4A"/>
    <w:rsid w:val="00D8236D"/>
    <w:rsid w:val="00D9793B"/>
    <w:rsid w:val="00DA4C79"/>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03DB0"/>
    <w:rsid w:val="00F21DD8"/>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cz 5  do SWZ 131025 - NOWE.docx</dmsv2BaseFileName>
    <dmsv2BaseDisplayName xmlns="http://schemas.microsoft.com/sharepoint/v3">Załącznik nr 1 cz 5  do SWZ 131025 - NOWE</dmsv2BaseDisplayName>
    <dmsv2SWPP2ObjectNumber xmlns="http://schemas.microsoft.com/sharepoint/v3">POST/DYS/OLD/GZ/01138/2026                        </dmsv2SWPP2ObjectNumber>
    <dmsv2SWPP2SumMD5 xmlns="http://schemas.microsoft.com/sharepoint/v3">62d24f1425fff34dd98287277d173417</dmsv2SWPP2SumMD5>
    <dmsv2BaseMoved xmlns="http://schemas.microsoft.com/sharepoint/v3">false</dmsv2BaseMoved>
    <dmsv2BaseIsSensitive xmlns="http://schemas.microsoft.com/sharepoint/v3">true</dmsv2BaseIsSensitive>
    <dmsv2SWPP2IDSWPP2 xmlns="http://schemas.microsoft.com/sharepoint/v3">712280</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24816291</dmsv2BaseClientSystemDocumentID>
    <dmsv2BaseModifiedByID xmlns="http://schemas.microsoft.com/sharepoint/v3">11704174</dmsv2BaseModifiedByID>
    <dmsv2BaseCreatedByID xmlns="http://schemas.microsoft.com/sharepoint/v3">11704174</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FJ3FSM7XJ42E-1652426618-2484</_dlc_DocId>
    <_dlc_DocIdUrl xmlns="a19cb1c7-c5c7-46d4-85ae-d83685407bba">
      <Url>https://swpp2.dms.gkpge.pl/sites/43/_layouts/15/DocIdRedir.aspx?ID=FJ3FSM7XJ42E-1652426618-2484</Url>
      <Description>FJ3FSM7XJ42E-1652426618-2484</Description>
    </_dlc_DocIdUrl>
  </documentManagement>
</p:properties>
</file>

<file path=customXml/itemProps1.xml><?xml version="1.0" encoding="utf-8"?>
<ds:datastoreItem xmlns:ds="http://schemas.openxmlformats.org/officeDocument/2006/customXml" ds:itemID="{7ABF781B-1A69-4F04-97E4-7F6877B5A6F7}"/>
</file>

<file path=customXml/itemProps2.xml><?xml version="1.0" encoding="utf-8"?>
<ds:datastoreItem xmlns:ds="http://schemas.openxmlformats.org/officeDocument/2006/customXml" ds:itemID="{3B46A916-9858-4952-A4A2-797C73666264}">
  <ds:schemaRefs>
    <ds:schemaRef ds:uri="http://schemas.microsoft.com/sharepoint/events"/>
  </ds:schemaRefs>
</ds:datastoreItem>
</file>

<file path=customXml/itemProps3.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4.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PGE word swz test</Template>
  <TotalTime>8</TotalTime>
  <Pages>14</Pages>
  <Words>3966</Words>
  <Characters>23799</Characters>
  <Application>Microsoft Office Word</Application>
  <DocSecurity>0</DocSecurity>
  <Lines>198</Lines>
  <Paragraphs>55</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9</cp:revision>
  <cp:lastPrinted>2024-07-15T11:21:00Z</cp:lastPrinted>
  <dcterms:created xsi:type="dcterms:W3CDTF">2025-10-14T11:43:00Z</dcterms:created>
  <dcterms:modified xsi:type="dcterms:W3CDTF">2026-03-31T07:39:00Z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da14cf11-7e13-4456-b73f-f4ed5feda487</vt:lpwstr>
  </property>
</Properties>
</file>